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FachbauTischlPrV — Befreiung von einzelnen Prüfungsbestandteilen</w:t>
      </w:r>
    </w:p>
    <w:p>
      <w:r>
        <w:rPr>
          <w:color w:val="555555"/>
          <w:sz w:val="18"/>
        </w:rPr>
        <w:t xml:space="preserve">Verordnung über die Prüfung zum anerkannten Abschluss Geprüfter Fachbauleiter/Geprüfte Fachbauleiterin im Tischlerhandwerk</w:t>
      </w:r>
    </w:p>
    <w:p>
      <w:r>
        <w:rPr>
          <w:color w:val="555555"/>
          <w:sz w:val="18"/>
        </w:rPr>
        <w:t xml:space="preserve">Stand: 25.12.2019 (konsolidierte Textfassung, kein amtliches Inkrafttretensdatum)</w:t>
      </w:r>
    </w:p>
    <w:p>
      <w:r>
        <w:t xml:space="preserve">Wird die zu prüfende Person nach § 42c Absatz 2 der Handwerksordnung von der Ablegung einzelner Prüfungsbereiche befreit, bleiben diese Prüfungsbereiche für die Anwendung der §§ 6 und 7 außer Betracht. Für die übrigen Prüfungsbereiche erhöhen sich die Anteile nach § 6 Absatz 3 Satz 2 entsprechend ihrem Verhältnis zueinander. Allein diese Prüfungsbereiche sind den Entscheidungen des Prüfungsausschusses zugrunde zu legen.</w:t>
      </w:r>
    </w:p>
    <w:p>
      <w:r>
        <w:rPr>
          <w:color w:val="555555"/>
          <w:sz w:val="17"/>
        </w:rPr>
        <w:t xml:space="preserve">Zitiervorschlag: § 5 FachbauTischlPrV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https://recht.nulegal.eu/gesetze/FachbauTischlPrV/5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