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FachbauTischlPrV — Gliederung, Struktur und integrierte Durchführung der Prüfung</w:t>
      </w:r>
    </w:p>
    <w:p>
      <w:r>
        <w:rPr>
          <w:color w:val="555555"/>
          <w:sz w:val="18"/>
        </w:rPr>
        <w:t xml:space="preserve">Verordnung über die Prüfung zum anerkannten Abschluss Geprüfter Fachbauleiter/Geprüfte Fachbauleiterin im Tischlerhandwerk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gliedert sich in die Handlungsbereiche "Ausführung und Überwachung der Montage" sowie "Koordinierung und Qualitätssicherung". Es ist handlungsorientiert und praxisbezogen zu prüfen.</w:t>
      </w:r>
    </w:p>
    <w:p>
      <w:r>
        <w:t xml:space="preserve">(2) Die Prüfung besteht aus:</w:t>
      </w:r>
    </w:p>
    <w:p>
      <w:pPr>
        <w:ind w:left="420"/>
      </w:pPr>
      <w:r>
        <w:t xml:space="preserve">1. einer schriftlichen Situationsaufgabe aus einem der zwei Handlungsbereiche gemäß Absatz 1. Den Kern der Situationsaufgabe sollen in dem zu prüfenden Handlungsbereich die Qualifikationsinhalte der Qualifikationsschwerpunkte gemäß § 4 bilden und etwa zwei Drittel der Situationsaufgabe ausmachen. Die Situationsaufgabe soll darüber hinaus aus dem Handlungsbereich, der nicht Kern der Situationsaufgabe ist, die Qualifikationsinhalte von zwei Qualifikationsschwerpunkten gemäß § 4 mit etwa einem Drittel integrativ einbeziehen. Die Prüfungsdauer beträgt mindestens 200 Minuten, höchstens 240 Minuten;</w:t>
      </w:r>
    </w:p>
    <w:p>
      <w:pPr>
        <w:ind w:left="420"/>
      </w:pPr>
      <w:r>
        <w:t xml:space="preserve">2. einem situationsbezogenen Fachgespräch. Grundlage des Fachgesprächs ist die schriftlich bearbeitete Situationsaufgabe gemäß Absatz 2 Nr. 1. Das Fachgespräch soll der Erläuterung der Situationsaufgabe dienen und darüber hinaus die Qualifikationsinhalte der Qualifikationsschwerpunkte nach § 4 integrativ einbeziehen, die nicht in der Situationsaufgabe bearbeitet wurden. Die Prüfungsdauer beträgt mindestens 25 Minuten, höchstens 35 Minuten.</w:t>
      </w:r>
    </w:p>
    <w:p>
      <w:r>
        <w:rPr>
          <w:color w:val="555555"/>
          <w:sz w:val="17"/>
        </w:rPr>
        <w:t xml:space="preserve">Zitiervorschlag: § 3 FachbauTischlPrV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https://recht.nulegal.eu/gesetze/FachbauTischlPrV/3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