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FachbPrV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Auf Grund des § 46 Abs. 2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Bildung und Forschung nach Anhörung des Ständigen 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