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FachbPrV — Gliederung und Durchführung der Prüfung</w:t>
      </w:r>
    </w:p>
    <w:p>
      <w:r>
        <w:rPr>
          <w:color w:val="555555"/>
          <w:sz w:val="18"/>
        </w:rPr>
        <w:t xml:space="preserve">Verordnung über die Prüfung zum anerkannten Abschluss Geprüfter Fachberater im Vertrieb/Geprüfte Fachberaterin im Vertrieb</w:t>
      </w:r>
    </w:p>
    <w:p>
      <w:r>
        <w:rPr>
          <w:color w:val="555555"/>
          <w:sz w:val="18"/>
        </w:rPr>
        <w:t xml:space="preserve">Historische Fassung: Stand 10.06.2019 bis 28.09.2023. Dies ist nicht die aktuelle Fassung.</w:t>
      </w:r>
    </w:p>
    <w:p>
      <w:r>
        <w:t xml:space="preserve">(1) Die Prüfung gliedert sich in folgende Handlungsbereiche:</w:t>
      </w:r>
    </w:p>
    <w:p>
      <w:pPr>
        <w:ind w:left="420"/>
      </w:pPr>
      <w:r>
        <w:t xml:space="preserve">1. Methodisches Arbeiten unter Anwendung moderner Informationstechnologien,</w:t>
      </w:r>
    </w:p>
    <w:p>
      <w:pPr>
        <w:ind w:left="420"/>
      </w:pPr>
      <w:r>
        <w:t xml:space="preserve">2. Wirtschaften unter Berücksichtigung von Kosten-/Nutzenaspekten,</w:t>
      </w:r>
    </w:p>
    <w:p>
      <w:pPr>
        <w:ind w:left="420"/>
      </w:pPr>
      <w:r>
        <w:t xml:space="preserve">3. Marktchancen identifizieren und die Marketinginstrumente zielgerichtet einsetzen,</w:t>
      </w:r>
    </w:p>
    <w:p>
      <w:pPr>
        <w:ind w:left="420"/>
      </w:pPr>
      <w:r>
        <w:t xml:space="preserve">4. Rechtsfragen aus der Vertriebspraxis prüfen und bearbeiten,</w:t>
      </w:r>
    </w:p>
    <w:p>
      <w:pPr>
        <w:ind w:left="420"/>
      </w:pPr>
      <w:r>
        <w:t xml:space="preserve">5. Kundenkontakte effektiv und effizient gestalten.</w:t>
      </w:r>
    </w:p>
    <w:p>
      <w:r>
        <w:t xml:space="preserve">(2) Die Handlungsbereiche gemäß Absatz 1 Nr. 1 bis 4 sind schriftlich zu prüfen. Pro Handlungsbereich besteht die schriftliche Prüfung aus einer unter Aufsicht anzufertigenden Arbeit, deren Bearbeitungszeit mindestens jeweils 90 Minuten beträgt. Die Gesamtbearbeitungszeit beträgt höchstens 480 Minuten.</w:t>
      </w:r>
    </w:p>
    <w:p>
      <w:r>
        <w:t xml:space="preserve">(3) Hat der Prüfungsteilnehmer/die Prüfungsteilnehmerin in nicht mehr als einer schriftlichen Prüfungsleistung gemäß Absatz 2 eine mangelhafte Prüfungsleistung erbracht, ist ihm/ihr in diesem Handlungsbereich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(4) Der Handlungsbereich gemäß Absatz 1 Nr. 5 ist als situationsbezogenes Fachgespräch mündlich zu prüfen. Es soll sich hierbei um ein praxisorientiertes Verkaufs- oder Verhandlungsgespräch einschließlich Visualisierungstechniken handeln. Der Prüfungsteilnehmer/die Prüfungsteilnehmerin hat Anspruch auf höchstens 30 Minuten Vorbereitungszeit. Die Prüfungszeit beträgt höchstens 30Minuten.</w:t>
      </w:r>
    </w:p>
    <w:p>
      <w:r>
        <w:rPr>
          <w:color w:val="555555"/>
          <w:sz w:val="17"/>
        </w:rPr>
        <w:t xml:space="preserve">Zitiervorschlag: § 3 FachbPrV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https://recht.nulegal.eu/gesetze/FachbPrV/3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