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FachV-nVD (Bayern) — Erholungsurlaub</w:t>
      </w:r>
    </w:p>
    <w:p>
      <w:r>
        <w:rPr>
          <w:color w:val="555555"/>
          <w:sz w:val="18"/>
        </w:rPr>
        <w:t xml:space="preserve">Fachverordnung nichttechnischer Verwaltungsdienst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Erholungsurlaub soll während der berufspraktischen Ausbildung eingebracht werden.</w:t>
      </w:r>
    </w:p>
    <w:p>
      <w:r>
        <w:rPr>
          <w:color w:val="555555"/>
          <w:sz w:val="17"/>
        </w:rPr>
        <w:t xml:space="preserve">Zitiervorschlag: § 9 FachV-nVD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https://recht.nulegal.eu/gesetze/FachV-nVD/9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