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FachV-nVD (Bayern) — Bedienstete öffentlich-rechtlicher Religionsgesellschaften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zugelassenen Bediensteten der öffentlich-rechtlichen Religionsgesellschaften gelten die Vorschriften dieser Verordnung sinngemäß. Mit dem zweimaligen Nichtbestehen der Zwischenprüfung erlischt die Zulassung. Die Prüfungsergebnisse dieser Bediensteten bleiben bei der Festsetzung der Platzziffer nach § 34 Abs. 2 Nr. 2 und § 59 Abs. 2 Nr. 2 unberücksichtigt. Die nach den Bestimmungen der §§ 28 bis 36 und 52 bis 61 abgelegte Prüfung gilt nicht als Qualifikationsprüfung im Sinn des Leistungslaufbahngesetzes.</w:t>
      </w:r>
    </w:p>
    <w:p>
      <w:r>
        <w:t xml:space="preserve">(2) Auf Grund einer Vereinbarung zwischen der Religionsgesellschaft und der jeweiligen Ausbildungsbehörde können diese Bediensteten im Rahmen der Ausbildungsabschnitte der berufspraktischen Ausbildung in einzelnen Ausbildungsbereichen bei den in § 6 genannten Ausbildungsbehörden ausgebildet werden.</w:t>
      </w:r>
    </w:p>
    <w:p>
      <w:r>
        <w:rPr>
          <w:color w:val="555555"/>
          <w:sz w:val="17"/>
        </w:rPr>
        <w:t xml:space="preserve">Zitiervorschlag: § 65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