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FachV-nVD (Bayern) — Gesamtprüfungsergebnis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der Bildung des Gesamtprüfungsergebnisses werden berücksichtigt</w:t>
      </w:r>
    </w:p>
    <w:p>
      <w:r>
        <w:t xml:space="preserve">1. das Gesamtergebnis der schriftlichen Prüfung mit 55 %,</w:t>
      </w:r>
    </w:p>
    <w:p>
      <w:r>
        <w:t xml:space="preserve">2. das Ergebnis der mündlichen Prüfung mit 15 %,</w:t>
      </w:r>
    </w:p>
    <w:p>
      <w:r>
        <w:t xml:space="preserve">3. das Ergebnis für die Diplomarbeit mit 15 % und</w:t>
      </w:r>
    </w:p>
    <w:p>
      <w:r>
        <w:t xml:space="preserve">4. das Gesamtergebnis der Zwischenprüfung (§ 50 Abs. 5 Satz 1) mit 15 %</w:t>
      </w:r>
    </w:p>
    <w:p>
      <w:r>
        <w:rPr>
          <w:color w:val="555555"/>
          <w:sz w:val="17"/>
        </w:rPr>
        <w:t xml:space="preserve">Zitiervorschlag: § 57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https://recht.nulegal.eu/gesetze/FachV-nVD/57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