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FachV-nVD (Bayern) — Schriftlicher Teil</w:t>
      </w:r>
    </w:p>
    <w:p>
      <w:r>
        <w:rPr>
          <w:color w:val="555555"/>
          <w:sz w:val="18"/>
        </w:rPr>
        <w:t xml:space="preserve">Fachverordnung nichttechnischer Verwaltungsdienst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 der schriftlichen Prüfung haben die Prüfungsteilnehmer und Prüfungsteilnehmerinnen in einer Bearbeitungszeit von jeweils fünf Stunden im Rahmen der Prüfungsfächer sechs Aufgaben zu fertigen, davon</w:t>
      </w:r>
    </w:p>
    <w:p>
      <w:r>
        <w:t xml:space="preserve">1. mindestens drei Aufgaben mit dem Schwerpunkt aus den Studienfächern der Studienfachgruppe Recht (§ 44 Abs. 1 Nr. 1) sowie</w:t>
      </w:r>
    </w:p>
    <w:p>
      <w:r>
        <w:t xml:space="preserve">2. mindestens eine Aufgabe mit dem Schwerpunkt aus den Studienfächern der Studienfachgruppen Wirtschafts- und Finanzlehre oder Verwaltungslehre (§ § 44 Abs. 1 Nr. 2 und 3).</w:t>
      </w:r>
    </w:p>
    <w:p>
      <w:r>
        <w:t xml:space="preserve">Aufgaben können an einer Datenverarbeitungsanlage gestellt werden.</w:t>
      </w:r>
    </w:p>
    <w:p>
      <w:r>
        <w:t xml:space="preserve">(2) Die Aufgaben sollen an aufeinanderfolgenden Arbeitstagen gefertigt werden. Pro Tag darf nur eine Aufgabe gestellt werden.</w:t>
      </w:r>
    </w:p>
    <w:p>
      <w:r>
        <w:t xml:space="preserve">(3) Das Gesamtergebnis der schriftlichen Prüfung wird errechnet aus der Summe der einzelnen Punktzahlen, geteilt durch die Anzahl der Aufgaben.</w:t>
      </w:r>
    </w:p>
    <w:p>
      <w:r>
        <w:rPr>
          <w:color w:val="555555"/>
          <w:sz w:val="17"/>
        </w:rPr>
        <w:t xml:space="preserve">Zitiervorschlag: § 55 FachV-nVD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https://recht.nulegal.eu/gesetze/FachV-nVD/55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