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FachV-nVD (Bayern) — Zulassung und Ladung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Diplomarbeit ist zugelassen, wer den Fachstudienabschnitt 3 abgeleistet hat.</w:t>
      </w:r>
    </w:p>
    <w:p>
      <w:r>
        <w:t xml:space="preserve">(2) Zum schriftlichen und mündlichen Teil der Qualifikationsprüfung ist zugelassen, wer</w:t>
      </w:r>
    </w:p>
    <w:p>
      <w:r>
        <w:t xml:space="preserve">1. die Zwischenprüfung bestanden hat sowie</w:t>
      </w:r>
    </w:p>
    <w:p>
      <w:r>
        <w:t xml:space="preserve">2. das Ziel der berufspraktischen Ausbildung erreicht hat.</w:t>
      </w:r>
    </w:p>
    <w:p>
      <w:r>
        <w:t xml:space="preserve">Die zugelassenen Prüfungsteilnehmer und Prüfungsteilnehmerinnen werden zum schriftlichen und mündlichen Teil der Qualifikationsprüfung geladen. Mit der Ladung werden die zugelassenen Hilfsmittel bekanntgegeben.</w:t>
      </w:r>
    </w:p>
    <w:p>
      <w:r>
        <w:rPr>
          <w:color w:val="555555"/>
          <w:sz w:val="17"/>
        </w:rPr>
        <w:t xml:space="preserve">Zitiervorschlag: § 53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https://recht.nulegal.eu/gesetze/FachV-nVD/53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