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FachV-nVD (Bayern) — Inhalt des fachtheoretischen Studiums</w:t>
      </w:r>
    </w:p>
    <w:p>
      <w:r>
        <w:rPr>
          <w:color w:val="555555"/>
          <w:sz w:val="18"/>
        </w:rPr>
        <w:t xml:space="preserve">Fachverordnung nichttechnischer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fachtheoretische Studium erstreckt sich auf folgende Studienfachgruppen und Studienfächer, die im Verbund gelehrt werden können:</w:t>
      </w:r>
    </w:p>
    <w:p>
      <w:r>
        <w:t xml:space="preserve">1. Studienfachgruppe Recht:</w:t>
      </w:r>
    </w:p>
    <w:p>
      <w:r>
        <w:t xml:space="preserve">1.1 Grundlagen des Rechts und der Rechtsanwendung einschließlich Methodik und Technik,</w:t>
      </w:r>
    </w:p>
    <w:p>
      <w:r>
        <w:t xml:space="preserve">1.2 Staats- und Verfassungsrecht,</w:t>
      </w:r>
    </w:p>
    <w:p>
      <w:r>
        <w:t xml:space="preserve">1.3 Europarecht,</w:t>
      </w:r>
    </w:p>
    <w:p>
      <w:r>
        <w:t xml:space="preserve">1.4 Allgemeines Verwaltungsrecht, Verwaltungsverfahrensrecht mit Bezügen zum besonderen Verwaltungsrecht, Verwaltungsprozessrecht,</w:t>
      </w:r>
    </w:p>
    <w:p>
      <w:r>
        <w:t xml:space="preserve">1.5 Recht des Datenschutzes,</w:t>
      </w:r>
    </w:p>
    <w:p>
      <w:r>
        <w:t xml:space="preserve">1.6 Kommunalrecht,</w:t>
      </w:r>
    </w:p>
    <w:p>
      <w:r>
        <w:t xml:space="preserve">1.7 Recht des öffentlichen Dienstes,</w:t>
      </w:r>
    </w:p>
    <w:p>
      <w:r>
        <w:t xml:space="preserve">1.8 Recht der öffentlichen Sicherheit und Ordnung sowie Grundzüge des Ordnungswidrigkeitenrechts mit Bezügen zum Strafrecht,</w:t>
      </w:r>
    </w:p>
    <w:p>
      <w:r>
        <w:t xml:space="preserve">1.9 Öffentliches Baurecht,</w:t>
      </w:r>
    </w:p>
    <w:p>
      <w:r>
        <w:t xml:space="preserve">1.10 Umweltrecht,</w:t>
      </w:r>
    </w:p>
    <w:p>
      <w:r>
        <w:t xml:space="preserve">1.11 Sozialrecht,</w:t>
      </w:r>
    </w:p>
    <w:p>
      <w:r>
        <w:t xml:space="preserve">1.12 Privatrecht,</w:t>
      </w:r>
    </w:p>
    <w:p>
      <w:r>
        <w:t xml:space="preserve">1.13 Formen des Verwaltungshandelns einschließlich Zustellungs-, Vollstreckungs- und Kostenrecht,</w:t>
      </w:r>
    </w:p>
    <w:p>
      <w:r>
        <w:t xml:space="preserve">1.14 Vergaberecht;</w:t>
      </w:r>
    </w:p>
    <w:p>
      <w:r>
        <w:t xml:space="preserve">2. Studienfachgruppe Wirtschafts- und Finanzlehre:</w:t>
      </w:r>
    </w:p>
    <w:p>
      <w:r>
        <w:t xml:space="preserve">2.1 Wirtschaftliche Grundlagen des Verwaltungshandelns,</w:t>
      </w:r>
    </w:p>
    <w:p>
      <w:r>
        <w:t xml:space="preserve">2.2 Haushaltswesen in der Kommunalverwaltung,</w:t>
      </w:r>
    </w:p>
    <w:p>
      <w:r>
        <w:t xml:space="preserve">2.3 Haushaltswesen in der Staatsverwaltung,</w:t>
      </w:r>
    </w:p>
    <w:p>
      <w:r>
        <w:t xml:space="preserve">2.4 Öffentliche Betriebswirtschaftslehre;</w:t>
      </w:r>
    </w:p>
    <w:p>
      <w:r>
        <w:t xml:space="preserve">3. Studienfachgruppe Verwaltungslehre:</w:t>
      </w:r>
    </w:p>
    <w:p>
      <w:r>
        <w:t xml:space="preserve">3.1 Verwaltungsorganisation,</w:t>
      </w:r>
    </w:p>
    <w:p>
      <w:r>
        <w:t xml:space="preserve">3.2 Statistik in der Verwaltung,</w:t>
      </w:r>
    </w:p>
    <w:p>
      <w:r>
        <w:t xml:space="preserve">3.3 Informations- und Kommunikationstechnik,</w:t>
      </w:r>
    </w:p>
    <w:p>
      <w:r>
        <w:t xml:space="preserve">3.4 Sozialwissenschaftliche Grundlagen des Verwaltungshandelns.</w:t>
      </w:r>
    </w:p>
    <w:p>
      <w:r>
        <w:t xml:space="preserve">(2) Die Ausbildungsleitstellen legen im Benehmen mit den Beamten und Beamtinnen fest, ob die Ausbildung im Studienfach Nr. 2.2 oder 2.3 erfolgt.</w:t>
      </w:r>
    </w:p>
    <w:p>
      <w:r>
        <w:rPr>
          <w:color w:val="555555"/>
          <w:sz w:val="17"/>
        </w:rPr>
        <w:t xml:space="preserve">Zitiervorschlag: § 44 FachV-nVD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https://recht.nulegal.eu/gesetze/FachV-nVD/44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