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FachV-ebtD (Bayern) — Voraussetzungen</w:t>
      </w:r>
    </w:p>
    <w:p>
      <w:r>
        <w:rPr>
          <w:color w:val="555555"/>
          <w:sz w:val="18"/>
        </w:rPr>
        <w:t xml:space="preserve">Verordnung über die fachlichen Schwerpunkte eichtechnischer und beschusstechnischer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Qualifikation für den fachlichen Schwerpunkt eichtechnischer Dienst wird bei einem Einstieg in der ersten Qualifikationsebene erworben durch</w:t>
      </w:r>
    </w:p>
    <w:p>
      <w:r>
        <w:t xml:space="preserve">1. die Vorbildung gemäß Art. 7 Abs. 1 Satz 1 Nr. 1, Satz 2 LlbG und eine mindestens sechsmonatige förderliche Tätigkeit im öffentlichen Dienst,</w:t>
      </w:r>
    </w:p>
    <w:p>
      <w:r>
        <w:t xml:space="preserve">2. die für die vorgesehene Verwendung erforderlichen fachlichen Kenntnisse und handwerklichen Fähigkeiten und</w:t>
      </w:r>
    </w:p>
    <w:p>
      <w:r>
        <w:t xml:space="preserve">3. für Ämter ab der Besoldungsgruppe A 5 die Abschlussprüfung in einem gesetzlich geregelten, der vorgesehenen Verwendung förderlichen Ausbildungsberuf.</w:t>
      </w:r>
    </w:p>
    <w:p>
      <w:r>
        <w:rPr>
          <w:color w:val="555555"/>
          <w:sz w:val="17"/>
        </w:rPr>
        <w:t xml:space="preserve">Zitiervorschlag: § 2 FachV-ebtD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https://recht.nulegal.eu/gesetze/FachV-ebtD/2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