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FachV-VettechnD (Bayern) — Zulassungsvoraussetzungen für den Lehrgang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Zum Lehrgang wird zugelassen, wer die Voraussetzungen nach § 2 Abs. 1 Nrn. 1 und 2 erfüllt.</w:t>
      </w:r>
    </w:p>
    <w:p>
      <w:r>
        <w:t xml:space="preserve">(2) Die Entscheidung über die Zulassung zum Lehrgang trifft das LGL.</w:t>
      </w:r>
    </w:p>
    <w:p>
      <w:r>
        <w:rPr>
          <w:color w:val="555555"/>
          <w:sz w:val="17"/>
        </w:rPr>
        <w:t xml:space="preserve">Zitiervorschlag: § 5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