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FachV-VettechnD (Bayern) — Fachtheoretische Ausbildung</w:t>
      </w:r>
    </w:p>
    <w:p>
      <w:r>
        <w:rPr>
          <w:color w:val="555555"/>
          <w:sz w:val="18"/>
        </w:rPr>
        <w:t xml:space="preserve">Verordnung über den fachlichen Schwerpunkt veterinär-technischer Dienst in der Fachlaufbahn Naturwissenschaft und Technik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der fachtheoretischen Ausbildung sind Kenntnisse und Fertigkeiten auf folgenden Gebieten und Lehrfächern zu vermitteln:</w:t>
      </w:r>
    </w:p>
    <w:p>
      <w:r>
        <w:t xml:space="preserve">1. Recht und Verwaltung einschließlich EDV, Berufe des öffentlichen Gesundheits- und Veterinärwesens,</w:t>
      </w:r>
    </w:p>
    <w:p>
      <w:r>
        <w:t xml:space="preserve">2. Tierseuchenbekämpfung, Tierkörperbeseitigung, Viehverkehr,</w:t>
      </w:r>
    </w:p>
    <w:p>
      <w:r>
        <w:t xml:space="preserve">3. Futtermittel,</w:t>
      </w:r>
    </w:p>
    <w:p>
      <w:r>
        <w:t xml:space="preserve">4. Tierschutz, Tiergesundheit, Tierhygiene,</w:t>
      </w:r>
    </w:p>
    <w:p>
      <w:r>
        <w:t xml:space="preserve">5. Grundlagen der Fleischhygiene, Geflügelfleischhygiene, Milchhygiene, Tierarzneimittelüberwachung und Lebensmittelhygiene,</w:t>
      </w:r>
    </w:p>
    <w:p>
      <w:r>
        <w:t xml:space="preserve">6. Einführung in die psychologischen Grundlagen der Überwachungstätigkeit, insbesondere in Kommunikations- und Konfliktlösungstechniken.</w:t>
      </w:r>
    </w:p>
    <w:p>
      <w:r>
        <w:t xml:space="preserve">(2) Die fachtheoretische Ausbildung führt das LGL im Rahmen eines Lehrgangs zur Vorbereitung auf die Prüfung für den fachlichen Schwerpunkt veterinär-technischer Dienst durch; der Lehrgang kann auch in einzelnen Abschnitten durchgeführt werden. Das LGL kann die Durchführung des Lehrgangs ganz oder teilweise auf öffentlich-rechtliche Fortbildungseinrichtungen, Behörden oder sonstige geeignete öffentlich-rechtliche Einrichtungen übertragen. Für eine vollständige Übertragung ist die Zustimmung der Staatsministerien des Innern, für Sport und Integration sowie für Umwelt und Verbraucherschutz erforderlich.</w:t>
      </w:r>
    </w:p>
    <w:p>
      <w:r>
        <w:rPr>
          <w:color w:val="555555"/>
          <w:sz w:val="17"/>
        </w:rPr>
        <w:t xml:space="preserve">Zitiervorschlag: § 4 FachV-VettechnD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https://recht.nulegal.eu/gesetze/FachV-VettechnD/4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