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FachV-VettechnD (Bayern) — Bekanntgabe des Prüfungsergebnisses</w:t>
      </w:r>
    </w:p>
    <w:p>
      <w:r>
        <w:rPr>
          <w:color w:val="555555"/>
          <w:sz w:val="18"/>
        </w:rPr>
        <w:t xml:space="preserve">Verordnung über den fachlichen Schwerpunkt veterinär-technischer Dienst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Prüfungsteilnehmer, die die Prüfung bestanden haben, erhalten</w:t>
      </w:r>
    </w:p>
    <w:p>
      <w:r>
        <w:t xml:space="preserve">1. ein Prüfungszeugnis, aus dem ihre Gesamtprüfungsnote, die Notenbezeichnung und die erreichte Platzziffer zu ersehen sind,</w:t>
      </w:r>
    </w:p>
    <w:p>
      <w:r>
        <w:t xml:space="preserve">2. eine Bescheinigung mit den Einzelnoten der schriftlichen und mündlichen Prüfung.</w:t>
      </w:r>
    </w:p>
    <w:p>
      <w:r>
        <w:rPr>
          <w:color w:val="555555"/>
          <w:sz w:val="17"/>
        </w:rPr>
        <w:t xml:space="preserve">Zitiervorschlag: § 16 FachV-VettechnD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https://recht.nulegal.eu/gesetze/FachV-VettechnD/16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