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FachV-VettechnD (Bayern) — Gesamtnoten, Gesamtprüfungsnote</w:t>
      </w:r>
    </w:p>
    <w:p>
      <w:r>
        <w:rPr>
          <w:color w:val="555555"/>
          <w:sz w:val="18"/>
        </w:rPr>
        <w:t xml:space="preserve">Verordnung über den fachlichen Schwerpunkt veterinär-technischer Dienst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jeden Prüfungsabschnitt ist eine Gesamtnote auf zwei Dezimalstellen zu errechnen. Die Gesamtnote wird aus der Summe der Einzelnoten geteilt durch deren Zahl gebildet.</w:t>
      </w:r>
    </w:p>
    <w:p>
      <w:r>
        <w:t xml:space="preserve">(2) Die Gesamtprüfungsnote ist aus der durch vier geteilten Summe der Gesamtnoten der einzelnen Prüfungsabschnitte zu errechnen. Die Gesamtnote des schriftlichen Prüfungsabschnittes zählt dreifach und die des mündlichen Prüfungsabschnittes einfach.</w:t>
      </w:r>
    </w:p>
    <w:p>
      <w:r>
        <w:rPr>
          <w:color w:val="555555"/>
          <w:sz w:val="17"/>
        </w:rPr>
        <w:t xml:space="preserve">Zitiervorschlag: § 14 FachV-VettechnD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https://recht.nulegal.eu/gesetze/FachV-VettechnD/14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FachV-VettechnD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