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FachV-VetD (Bayern)</w:t>
      </w:r>
    </w:p>
    <w:p>
      <w:r>
        <w:rPr>
          <w:color w:val="555555"/>
          <w:sz w:val="18"/>
        </w:rPr>
        <w:t xml:space="preserve">Verordnung über den fachlichen Schwerpunkt Veterinärdienst</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des Art. 38 Abs. 2 und des Art. 67 Satz 1 Nr. 1 bis 3 des Leistungslaufbahngesetzes (LlbG) vom 5. August 2010 (GVBl. S. 410, 571, BayRS 2030-1-4-F), das zuletzt durch § 4 des Gesetzes vom 18. Mai 2018 (GVBl. S. 286) geändert worden ist, verordnet das Bayerische Staatsministerium für Umwelt und Verbraucherschutz im Einvernehmen mit dem Bayerischen Staatsministerium der Finanzen, für Landesentwicklung und Heimat und mit Zustimmung des Bayerischen Landespersonalausschusses:</w:t>
      </w:r>
    </w:p>
    <w:p>
      <w:r>
        <w:rPr>
          <w:color w:val="555555"/>
          <w:sz w:val="17"/>
        </w:rPr>
        <w:t xml:space="preserve">Zitiervorschlag: Eingangsformel FachV-VetD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https://recht.nulegal.eu/gesetze/FachV-VetD/eingangsformel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