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FachV-VI (Bayern) — Ergebnis des Zulassungsverfahrens</w:t>
      </w:r>
    </w:p>
    <w:p>
      <w:r>
        <w:rPr>
          <w:color w:val="555555"/>
          <w:sz w:val="18"/>
        </w:rPr>
        <w:t xml:space="preserve">Fachverordnung Verwaltungsinformatik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Zulassungsverfahren ist erfolgreich abgeschlossen, wenn mindestens die Endpunktzahl fünf erreicht wird.</w:t>
      </w:r>
    </w:p>
    <w:p>
      <w:r>
        <w:t xml:space="preserve">(2) Zur Bildung der Endpunktzahl ist die Aufgabe nach § 35 Satz 1 Nr. 1 einfach und die Aufgabe nach § 35 Satz 1 Nr. 2 zweifach zu zählen. Die Summe der Einzelpunktzahlen geteilt durch drei ergibt die Endpunktzahl.</w:t>
      </w:r>
    </w:p>
    <w:p>
      <w:r>
        <w:t xml:space="preserve">(3) Für Teilnehmerinnen und Teilnehmer, die das Zulassungsverfahren erfolgreich abgeschlossen haben, erstellt das Prüfungsamt auf Grund der ermittelten Endpunktzahlen eine Rangliste. Bei gleicher Endpunktzahl entscheidet die Bewertung der Aufgabe nach § 35 Satz 1 Nr. 2; Teilnehmende mit gleicher Bewertung der Aufgabe nach § 35 Satz 1 Nr. 2 erhalten den gleichen Rang.</w:t>
      </w:r>
    </w:p>
    <w:p>
      <w:r>
        <w:t xml:space="preserve">(4) Die Teilnehmerinnen und Teilnehmer und die jeweiligen Ernennungsbehörden erhalten eine schriftliche Mitteilung über das erzielte Ergebnis und gegebenenfalls über den Ranglistenplatz. Ein Prüfungszeugnis oder eine Bescheinigung nach § 31 Abs. 3 APO wird nicht erstellt. Der Geschäftsstelle des Landespersonalausschusses wird kein anonymisierter Abdruck der Ergebnisliste übersandt.</w:t>
      </w:r>
    </w:p>
    <w:p>
      <w:r>
        <w:rPr>
          <w:color w:val="555555"/>
          <w:sz w:val="17"/>
        </w:rPr>
        <w:t xml:space="preserve">Zitiervorschlag: § 36 FachV-VI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https://recht.nulegal.eu/gesetze/FachV-VI/36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