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FachV-VI (Bayern) — Inhalt des Zulassungsverfahrens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Rahmen des Zulassungsverfahrens sind zwei Aufgaben mit einer Bearbeitungszeit von insgesamt mindestens drei Stunden unter Aufsicht zu fertigen; die Aufgaben sind so zu gestalten, dass sie ein Urteil über</w:t>
      </w:r>
    </w:p>
    <w:p>
      <w:r>
        <w:t xml:space="preserve">1. Grundkenntnisse in Englisch oder das Ausdrucksvermögen in der deutschen Sprache und die Fähigkeit zum logischen Denken sowie</w:t>
      </w:r>
    </w:p>
    <w:p>
      <w:r>
        <w:t xml:space="preserve">2. Kenntnisse aus dem Bereich der Mathematik</w:t>
      </w:r>
    </w:p>
    <w:p>
      <w:r>
        <w:t xml:space="preserve">erlauben. Der Prüfungsausschuss kann Hilfsmittel zur Bearbeitung der Aufgaben zulassen.</w:t>
      </w:r>
    </w:p>
    <w:p>
      <w:r>
        <w:rPr>
          <w:color w:val="555555"/>
          <w:sz w:val="17"/>
        </w:rPr>
        <w:t xml:space="preserve">Zitiervorschlag: § 35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