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FachV-VI (Bayern) — Zulassungsverfahren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Zulassungsverfahren wird bei Bedarf vom Prüfungsausschuss gemäß § 20 für alle Einstellungsbehörden durchgeführt. § 23 Satz 1 und 2 gilt entsprechend. Das Prüfungsamt kann die Hochschule für Angewandte Wissenschaften Hof mit der Erfüllung von Teilaufgaben bei der Durchführung des Zulassungsverfahrens beauftragen.</w:t>
      </w:r>
    </w:p>
    <w:p>
      <w:r>
        <w:t xml:space="preserve">(2) Das Staatsministerium der Finanzen und für Heimat gibt den Termin, die Aufgabengebiete im Rahmen des Zulassungsverfahrens und die Meldefristen für das Zulassungsverfahren durch Veröffentlichung im Bayerischen Staatsanzeiger bekannt.</w:t>
      </w:r>
    </w:p>
    <w:p>
      <w:r>
        <w:rPr>
          <w:color w:val="555555"/>
          <w:sz w:val="17"/>
        </w:rPr>
        <w:t xml:space="preserve">Zitiervorschlag: § 32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