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FachV-VI (Bayern) — Erholungsurlaub, Teilzeit</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Erholungsurlaub ist in der Regel während des berufspraktischen Studiums einzubringen. Vorlesungsfreie Zeiten während des Fachstudiums sind auf den Erholungsurlaub anzurechnen, wenn die vorlesungsfreie Zeit mindestens drei Arbeitstage umfasst.</w:t>
      </w:r>
    </w:p>
    <w:p>
      <w:r>
        <w:t xml:space="preserve">(2) Wenn zu erwarten ist, dass das Ziel des Vorbereitungsdienstes gleichwohl erreicht wird, kann im berufspraktischen Studium auf Antrag gemäß Art. 89 Abs. 5 des Bayerischen Beamtengesetzes eine Teilzeitbeschäftigung mit in der Regel mindestens 75 % der regelmäßigen Arbeitszeit bewilligt werden. Die reduzierte Arbeitszeit ist auf fünf Arbeitstage pro Woche unter Berücksichtigung der Arbeitszeitregelungen der jeweiligen Ausbildungsbehörde zu verteilen. Eine Verlängerung des Vorbereitungsdienstes ist damit vorbehaltlich von § 14 nicht verbunden. Bei Gefährdung des Ziels des Vorbereitungsdienstes soll die Bewilligung der Teilzeit ganz oder teilweise widerrufen werden.</w:t>
      </w:r>
    </w:p>
    <w:p>
      <w:r>
        <w:rPr>
          <w:color w:val="555555"/>
          <w:sz w:val="17"/>
        </w:rPr>
        <w:t xml:space="preserve">Zitiervorschlag: § 13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