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FachV-UVAD (Bayern)</w:t>
      </w:r>
    </w:p>
    <w:p>
      <w:r>
        <w:rPr>
          <w:color w:val="555555"/>
          <w:sz w:val="18"/>
        </w:rPr>
        <w:t xml:space="preserve">Verordnung über die fachlichen Schwerpunkte Unfallversicherung und Aufsichtsdienst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22 Abs. 6 Halbsatz 2, des Art. 35 Abs. 3, des Art. 38 Abs. 2 und des Art. 67 Satz 1 Nr. 1 bis 3 des Leistungslaufbahngesetzes (LlbG) vom 5. August 2010 (GVBl. S. 410, 571, BayRS 2030-1-4-F), das zuletzt durch Art. 130f Abs. 3 des Gesetzes vom 5. August 2022 (GVBl. S. 414) geändert worden ist, erlässt das Bayerische Staatsministerium für Familie, Arbeit und Soziales im Einvernehmen mit dem Bayerischen Staatsministerium der Finanzen und für Heimat und mit Zustimmung des Bayerischen Landespersonalausschusses folgende Verordnung:</w:t>
      </w:r>
    </w:p>
    <w:p>
      <w:r>
        <w:rPr>
          <w:color w:val="555555"/>
          <w:sz w:val="17"/>
        </w:rPr>
        <w:t xml:space="preserve">Zitiervorschlag: Eingangsformel FachV-UVAD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https://recht.nulegal.eu/gesetze/FachV-UVAD/eingangsformel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