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FachV-UVAD (Bayern) — Inkrafttreten</w:t>
      </w:r>
    </w:p>
    <w:p>
      <w:r>
        <w:rPr>
          <w:color w:val="555555"/>
          <w:sz w:val="18"/>
        </w:rPr>
        <w:t xml:space="preserve">Verordnung über die fachlichen Schwerpunkte Unfallversicherung und Aufsichtsdienst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am 1. Februar 2023 in Kraft.</w:t>
      </w:r>
    </w:p>
    <w:p>
      <w:r>
        <w:rPr>
          <w:color w:val="555555"/>
          <w:sz w:val="17"/>
        </w:rPr>
        <w:t xml:space="preserve">Zitiervorschlag: § 7 FachV-UVAD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https://recht.nulegal.eu/gesetze/FachV-UVAD/7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