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FachV-UVAD (Bayern) — Fachliche Schwerpunkte Unfallversicherung und Aufsichtsdienst</w:t>
      </w:r>
    </w:p>
    <w:p>
      <w:r>
        <w:rPr>
          <w:color w:val="555555"/>
          <w:sz w:val="18"/>
        </w:rPr>
        <w:t xml:space="preserve">Verordnung über die fachlichen Schwerpunkte Unfallversicherung und Aufsichtsdienst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In der Fachlaufbahn Verwaltung und Finanzen wird der fachliche Schwerpunkt Unfallversicherung gebildet.</w:t>
      </w:r>
    </w:p>
    <w:p>
      <w:r>
        <w:t xml:space="preserve">(2) In der Fachlaufbahn Naturwissenschaft und Technik wird der fachliche Schwerpunkt Aufsichtsdienst gebildet.</w:t>
      </w:r>
    </w:p>
    <w:p>
      <w:r>
        <w:rPr>
          <w:color w:val="555555"/>
          <w:sz w:val="17"/>
        </w:rPr>
        <w:t xml:space="preserve">Zitiervorschlag: § 1 FachV-UVAD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https://recht.nulegal.eu/gesetze/FachV-UVAD/1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