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FachV-TechnÜV (Bayern) — Abkürzung der Ausbildung</w:t>
      </w:r>
    </w:p>
    <w:p>
      <w:r>
        <w:rPr>
          <w:color w:val="555555"/>
          <w:sz w:val="18"/>
        </w:rPr>
        <w:t xml:space="preserve">Verordnung über den fachlichen Schwerpunkt technischer Überwachungsdienst zum Schutz der Verbraucher in der Fachlaufbahn Naturwissenschaft und Technik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Einstellungsbehörde kann Zeiten einer förderlichen hauptberuflichen Tätigkeit, die nach der Gesellen- oder Facharbeiterprüfung in einem Lebensmittelberuf ausgeübt worden ist und mindestens drei Jahre betragen hat, auf Antrag bis zu sechs Monate auf die Zeit der Ausbildung (§ 2 Nr. 3) anrechnen.</w:t>
      </w:r>
    </w:p>
    <w:p>
      <w:r>
        <w:rPr>
          <w:color w:val="555555"/>
          <w:sz w:val="17"/>
        </w:rPr>
        <w:t xml:space="preserve">Zitiervorschlag: § 4 FachV-TechnÜV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https://recht.nulegal.eu/gesetze/FachV-Techn%C3%9CV/4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