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FachV-TechnÜV (Bayern) — Bekanntgabe des Prüfungsergebnisses</w:t>
      </w:r>
    </w:p>
    <w:p>
      <w:r>
        <w:rPr>
          <w:color w:val="555555"/>
          <w:sz w:val="18"/>
        </w:rPr>
        <w:t xml:space="preserve">Verordnung über den fachlichen Schwerpunkt technischer Überwachungsdienst zum Schutz der Verbraucher in der Fachlaufbahn Naturwissenschaft und Technik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Gesamtprüfungsnote ist dem Prüfungsteilnehmer am Schluss der mündlichen Prüfung bekannt zu geben.</w:t>
      </w:r>
    </w:p>
    <w:p>
      <w:r>
        <w:t xml:space="preserve">(2) Prüfungsteilnehmer, die die Prüfung bestanden haben, erhalten ein Prüfungszeugnis, aus dem zu ersehen ist</w:t>
      </w:r>
    </w:p>
    <w:p>
      <w:r>
        <w:t xml:space="preserve">1. die Gesamtprüfungsnote und die Notenbezeichnung,</w:t>
      </w:r>
    </w:p>
    <w:p>
      <w:r>
        <w:t xml:space="preserve">2. die Platzziffer mit Angabe der Zahl der Prüfungsteilnehmer und der Zahl derjenigen, die die Prüfung bestanden haben, und der Zahl der Prüfungsteilnehmer mit gleicher Platzziffer,</w:t>
      </w:r>
    </w:p>
    <w:p>
      <w:r>
        <w:t xml:space="preserve">3. die Noten für die schriftlichen Prüfungsarbeiten,</w:t>
      </w:r>
    </w:p>
    <w:p>
      <w:r>
        <w:t xml:space="preserve">4. die Note für die mündliche Prüfung.</w:t>
      </w:r>
    </w:p>
    <w:p>
      <w:r>
        <w:t xml:space="preserve">Das Prüfungszeugnis soll den Teilnehmern innerhalb von sechs Wochen nach Abschluss der Prüfung ausgehändigt werden.</w:t>
      </w:r>
    </w:p>
    <w:p>
      <w:r>
        <w:rPr>
          <w:color w:val="555555"/>
          <w:sz w:val="17"/>
        </w:rPr>
        <w:t xml:space="preserve">Zitiervorschlag: § 18 FachV-TechnÜV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https://recht.nulegal.eu/gesetze/FachV-Techn%C3%9CV/18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