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FachV-TechnÜV (Bayern) — Schriftliche Prüfung</w:t>
      </w:r>
    </w:p>
    <w:p>
      <w:r>
        <w:rPr>
          <w:color w:val="555555"/>
          <w:sz w:val="18"/>
        </w:rPr>
        <w:t xml:space="preserve">Verordnung über den fachlichen Schwerpunkt technischer Überwachungsdienst zum Schutz der Verbraucher in der Fachlaufbahn Naturwissenschaft und Technik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schriftliche Prüfung umfasst sechs Aufgaben mit einer Arbeitszeit von je drei Stunden</w:t>
      </w:r>
    </w:p>
    <w:p>
      <w:r>
        <w:t xml:space="preserve">(2) Die Aufgaben sind in der Regel an aufeinander folgenden Werktagen zu bearbeiten. An einem Tag darf nur eine Aufgabe bearbeitet werden.</w:t>
      </w:r>
    </w:p>
    <w:p>
      <w:r>
        <w:rPr>
          <w:color w:val="555555"/>
          <w:sz w:val="17"/>
        </w:rPr>
        <w:t xml:space="preserve">Zitiervorschlag: § 12 FachV-TechnÜV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https://recht.nulegal.eu/gesetze/FachV-Techn%C3%9CV/12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