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FachV-StMUV (Bayern)</w:t>
      </w:r>
    </w:p>
    <w:p>
      <w:r>
        <w:rPr>
          <w:color w:val="555555"/>
          <w:sz w:val="18"/>
        </w:rPr>
        <w:t xml:space="preserve">Verordnung über den fachlichen Schwerpunkt technische Dienste im Geschäftsbereich des Staatsministeriums für Umwelt und Verbraucherschutz</w:t>
      </w:r>
    </w:p>
    <w:p>
      <w:r>
        <w:rPr>
          <w:color w:val="555555"/>
          <w:sz w:val="18"/>
        </w:rPr>
        <w:t xml:space="preserve">Landesrecht Bayern</w:t>
      </w:r>
    </w:p>
    <w:p>
      <w:r>
        <w:rPr>
          <w:color w:val="555555"/>
          <w:sz w:val="18"/>
        </w:rPr>
        <w:t xml:space="preserve">Stand: 25.08.2026 (konsolidierte Textfassung, kein amtliches Inkrafttretensdatum)</w:t>
      </w:r>
    </w:p>
    <w:p>
      <w:r>
        <w:t xml:space="preserve">Auf Grund von Art. 38 Abs. 2 und Art. 67 Satz 1 Nrn. 1 und 2 des Gesetzes über die Leistungslaufbahn und die Fachlaufbahnen der bayerischen Beamten und Beamtinnen (Leistungslaufbahngesetz – LlbG) vom 5. August 2010 (GVBl S. 410, 571, BayRS 2030-1-4-F), zuletzt geändert durch § 4 des Gesetzes vom 24. Juli 2013 (GVBl S. 450), erlässt das Bayerische Staatsministerium für Umwelt und Verbraucherschutz im Einvernehmen mit dem Bayerischen Staatsministerium der Finanzen, für Landesentwicklung und Heimat und mit Zustimmung des Bayerischen Landespersonalausschusses folgende Verordnung:</w:t>
      </w:r>
    </w:p>
    <w:p>
      <w:r>
        <w:rPr>
          <w:color w:val="555555"/>
          <w:sz w:val="17"/>
        </w:rPr>
        <w:t xml:space="preserve">Zitiervorschlag: Eingangsformel FachV-StMUV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https://recht.nulegal.eu/gesetze/FachV-StMUV/eingangsformel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