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FachV-StF (Bayern) — Ergebnis der Zwischenprüfung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Anschluss an die Bewertung der Prüfungsarbeiten setzt der Prüfungsausschuss die Endpunktzahl und die Prüfungsgesamtnote fest.</w:t>
      </w:r>
    </w:p>
    <w:p>
      <w:r>
        <w:t xml:space="preserve">(2) Für die Ermittlung der Endpunktzahl ist die Summe der 30fachen Durchschnittspunktzahl der Prüfungsarbeiten und der zehnfachen Durchschnittspunktzahl der Leistungen bis zur Zwischenprüfung (§ 22 Abs. 7) zu bilden.</w:t>
      </w:r>
    </w:p>
    <w:p>
      <w:r>
        <w:t xml:space="preserve">(3) Aus der Endpunktzahl ergibt sich die Prüfungsgesamtnote (§ 9 Abs. 4).</w:t>
      </w:r>
    </w:p>
    <w:p>
      <w:r>
        <w:t xml:space="preserve">(4) Die Zwischenprüfung ist bestanden, wenn mindestens drei Prüfungsarbeiten mit fünf oder mehr Punkten bewertet worden sind und die Endpunktzahl mindestens 200 beträgt.</w:t>
      </w:r>
    </w:p>
    <w:p>
      <w:r>
        <w:rPr>
          <w:color w:val="555555"/>
          <w:sz w:val="17"/>
        </w:rPr>
        <w:t xml:space="preserve">Zitiervorschlag: § 34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