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FachV-StF (Bayern) — Bewertung der schriftlichen Prüfungsarbeiten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Bewertung der Prüfungsarbeiten sind die Richtigkeit der Entscheidung, die Art und Folgerichtigkeit der Begründung, die Gliederung und Klarheit der Darstellung sowie die Ausdrucksweise zu berücksichtigen.</w:t>
      </w:r>
    </w:p>
    <w:p>
      <w:r>
        <w:t xml:space="preserve">(2) Jede Prüfungsarbeit ist von zwei Prüfern oder Prüferinnen zu bewerten. Bei abweichender Bewertung sollen sie eine Einigung über die Bewertung versuchen. Kommt eine Einigung nicht zustande, entscheidet der Prüfungsausschuss.</w:t>
      </w:r>
    </w:p>
    <w:p>
      <w:r>
        <w:t xml:space="preserve">(3) Für jede Prüfungsarbeit ist eine Punktzahl zu erteilen; Zwischenpunktzahlen sind nicht zulässig. Jede ohne ausreichende Entschuldigung nicht oder nicht rechtzeitig abgelieferte Arbeit ist mit der Punktzahl „0“ zu bewerten.</w:t>
      </w:r>
    </w:p>
    <w:p>
      <w:r>
        <w:rPr>
          <w:color w:val="555555"/>
          <w:sz w:val="17"/>
        </w:rPr>
        <w:t xml:space="preserve">Zitiervorschlag: § 33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