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FachV-StF (Bayern) — Bildung des fachlichen Schwerpunkts Staatsfinanz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Fachlaufbahn Verwaltung und Finanzen wird der fachliche Schwerpunkt Staatsfinanz gebildet.</w:t>
      </w:r>
    </w:p>
    <w:p>
      <w:r>
        <w:t xml:space="preserve">(2) Soweit diese Verordnung nichts anderes bestimmt, gelten die Vorschriften der Allgemeinen Prüfungsordnung (APO) entsprechend.</w:t>
      </w:r>
    </w:p>
    <w:p>
      <w:r>
        <w:rPr>
          <w:color w:val="555555"/>
          <w:sz w:val="17"/>
        </w:rPr>
        <w:t xml:space="preserve">Zitiervorschlag: § 1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