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43 FachV-Lw (Bayern) — Zulassungsausschuss</w:t>
      </w:r>
    </w:p>
    <w:p>
      <w:r>
        <w:rPr>
          <w:color w:val="555555"/>
          <w:sz w:val="18"/>
        </w:rPr>
        <w:t xml:space="preserve">Fachverordnung land- und hauswirtschaftlicher Verwaltungsdienst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Der Zulassungsausschuss besteht aus vier Mitgliedern, die dem fachlichen Schwerpunkt Agrarwirtschaft, Hauswirtschaft, Ernährung angehören. Zwei Mitglieder, von denen eines den Vorsitz führt, müssen mindestens ein Amt der Besoldungsgruppe A 14 innehaben, die übrigen Mitglieder müssen mindestens ein Amt der Besoldungsgruppe A 10 innehaben. Der Zulassungsausschuss wird vom Staatsministerium bestellt.</w:t>
      </w:r>
    </w:p>
    <w:p>
      <w:r>
        <w:t xml:space="preserve">(2) Der Zulassungsausschuss bestellt zur Bewertung der schriftlichen Aufgaben weitere geeignete Mitwirkende.</w:t>
      </w:r>
    </w:p>
    <w:p>
      <w:r>
        <w:rPr>
          <w:color w:val="555555"/>
          <w:sz w:val="17"/>
        </w:rPr>
        <w:t xml:space="preserve">Zitiervorschlag: § 43 FachV-Lw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https://recht.nulegal.eu/gesetze/FachV-Lw/43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