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 FachV-Lw (Bayern) — Berufsbezeichnung</w:t>
      </w:r>
    </w:p>
    <w:p>
      <w:r>
        <w:rPr>
          <w:color w:val="555555"/>
          <w:sz w:val="18"/>
        </w:rPr>
        <w:t xml:space="preserve">Fachverordnung land- und hauswirtschaftlicher Verwaltungsdienst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Mit dem Bestehen der Anstellungsprüfung wird das Recht erworben, die Bezeichnung „Staatlich geprüfte Betriebswirtin für Ernährungs- und Versorgungsmanagement mit Fachlehrerinnen-Prüfung“ oder „Staatlich geprüfter Betriebswirt für Ernährungs- und Versorgungsmanagement mit Fachlehrer-Prüfung“ zu führen. Diese Berufsbezeichnung darf nur geführt werden, wenn der Nachweis über den erfolgreichen Abschluss der Staatlichen Fachakademie für Landwirtschaft, Fachrichtung Hauswirtschaft und Ernährung oder einer anderen Fachakademie für Ernährungs- und Versorgungsmanagement vorliegt.</w:t>
      </w:r>
    </w:p>
    <w:p>
      <w:r>
        <w:rPr>
          <w:color w:val="555555"/>
          <w:sz w:val="17"/>
        </w:rPr>
        <w:t xml:space="preserve">Zitiervorschlag: § 41 FachV-Lw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https://recht.nulegal.eu/gesetze/FachV-Lw/41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