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FachV-Lw (Bayern) — Inhalt und Abschnitte der Pädagogischen Prüfung</w:t>
      </w:r>
    </w:p>
    <w:p>
      <w:r>
        <w:rPr>
          <w:color w:val="555555"/>
          <w:sz w:val="18"/>
        </w:rPr>
        <w:t xml:space="preserve">Fachverordnung land- und hauswirtschaftlicher Verwaltungsdienst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Pädagogische Prüfung besteht aus</w:t>
      </w:r>
    </w:p>
    <w:p>
      <w:r>
        <w:t xml:space="preserve">1. einem schriftlichen Prüfungsabschnitt mit einer dreistündigen Arbeit aus folgenden Prüfungsgebieten:</w:t>
      </w:r>
    </w:p>
    <w:p>
      <w:r>
        <w:t xml:space="preserve">a) Fachschulpädagogik mit Mediendidaktik</w:t>
      </w:r>
    </w:p>
    <w:p>
      <w:r>
        <w:t xml:space="preserve">b) Psychologie und Pädagogik</w:t>
      </w:r>
    </w:p>
    <w:p>
      <w:r>
        <w:t xml:space="preserve">c) Schulkunde</w:t>
      </w:r>
    </w:p>
    <w:p>
      <w:r>
        <w:t xml:space="preserve">2. einem praktischen Prüfungsabschnitt mit zwei Lehrvorführungen und schriftlicher Ausarbeitung von je einer Unterrichtsstunde an einer agrarwirtschaftlichen Fachschule und einer Aussprache von je 15 Minuten; das Thema der zweiten Lehrvorführung ist entsprechend dem Ausbildungs- und Prüfungsgebiet des Prüfungsteilnehmers auszuwählen.</w:t>
      </w:r>
    </w:p>
    <w:p>
      <w:r>
        <w:t xml:space="preserve">(2) Der schriftliche Abschnitt der Pädagogischen Prüfung und eine Lehrvorführung mit Aussprache werden gegen Ende des ersten schulpraktischen Ausbildungsabschnitts, die zweite Lehrvorführung gegen Ende des zweiten schulpraktischen Ausbildungsabschnitts abgehalten.</w:t>
      </w:r>
    </w:p>
    <w:p>
      <w:r>
        <w:t xml:space="preserve">(3) Die Prüfungsteilnehmerinnen und Prüfungsteilnehmer erhalten sieben Tage vor der Lehrvorführung das Thema.</w:t>
      </w:r>
    </w:p>
    <w:p>
      <w:r>
        <w:t xml:space="preserve">(4) Vor Beginn jeder Lehrvorführung ist der Prüfungskommission eine schriftliche Lehrdarstellung vorzulegen, die in die Beurteilung einbezogen wird.</w:t>
      </w:r>
    </w:p>
    <w:p>
      <w:r>
        <w:rPr>
          <w:color w:val="555555"/>
          <w:sz w:val="17"/>
        </w:rPr>
        <w:t xml:space="preserve">Zitiervorschlag: § 26 FachV-Lw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https://recht.nulegal.eu/gesetze/FachV-Lw/26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