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FachV-Lw (Bayern) — Prüfungsgebiete</w:t>
      </w:r>
    </w:p>
    <w:p>
      <w:r>
        <w:rPr>
          <w:color w:val="555555"/>
          <w:sz w:val="18"/>
        </w:rPr>
        <w:t xml:space="preserve">Fachverordnung land- und hauswirtschaftlicher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Qualifikationsprüfung erstreckt sich auf folgende Prüfungsgebiete:</w:t>
      </w:r>
    </w:p>
    <w:p>
      <w:r>
        <w:t xml:space="preserve">1.</w:t>
      </w:r>
    </w:p>
    <w:p>
      <w:r>
        <w:t xml:space="preserve">A1</w:t>
      </w:r>
    </w:p>
    <w:p>
      <w:r>
        <w:t xml:space="preserve">Verwaltungs- und Staatskunde</w:t>
      </w:r>
    </w:p>
    <w:p>
      <w:r>
        <w:t xml:space="preserve">2.</w:t>
      </w:r>
    </w:p>
    <w:p>
      <w:r>
        <w:t xml:space="preserve">A2</w:t>
      </w:r>
    </w:p>
    <w:p>
      <w:r>
        <w:t xml:space="preserve">Verwaltungsverfahrens- und Förderrecht</w:t>
      </w:r>
    </w:p>
    <w:p>
      <w:r>
        <w:t xml:space="preserve">3.</w:t>
      </w:r>
    </w:p>
    <w:p>
      <w:r>
        <w:t xml:space="preserve">L1</w:t>
      </w:r>
    </w:p>
    <w:p>
      <w:r>
        <w:t xml:space="preserve">Betriebswirtschaft</w:t>
      </w:r>
    </w:p>
    <w:p>
      <w:r>
        <w:t xml:space="preserve">4.</w:t>
      </w:r>
    </w:p>
    <w:p>
      <w:r>
        <w:t xml:space="preserve">L2</w:t>
      </w:r>
    </w:p>
    <w:p>
      <w:r>
        <w:t xml:space="preserve">Pflanzenbau</w:t>
      </w:r>
    </w:p>
    <w:p>
      <w:r>
        <w:t xml:space="preserve">5.</w:t>
      </w:r>
    </w:p>
    <w:p>
      <w:r>
        <w:t xml:space="preserve">L3</w:t>
      </w:r>
    </w:p>
    <w:p>
      <w:r>
        <w:t xml:space="preserve">Tierhaltung.</w:t>
      </w:r>
    </w:p>
    <w:p>
      <w:r>
        <w:rPr>
          <w:color w:val="555555"/>
          <w:sz w:val="17"/>
        </w:rPr>
        <w:t xml:space="preserve">Zitiervorschlag: § 16 FachV-Lw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https://recht.nulegal.eu/gesetze/FachV-Lw/16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