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FachV-J (Bayern) — Ergebnis der schriftlichen Prüfung, Ausschluss von der mündlichen Prüfung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Bildung der Gesamtnote richtet sich nach § 28 Abs. 1 APO mit der Maßgabe des § 10.</w:t>
      </w:r>
    </w:p>
    <w:p>
      <w:r>
        <w:t xml:space="preserve">(2) Die mündliche Prüfung findet im Anschluss an die schriftliche Prüfung statt. An der mündlichen Prüfung darf nur teilnehmen, wer wenigstens zwei Drittel der Aufgaben der schriftlichen Prüfung bearbeitet hat.</w:t>
      </w:r>
    </w:p>
    <w:p>
      <w:r>
        <w:rPr>
          <w:color w:val="555555"/>
          <w:sz w:val="17"/>
        </w:rPr>
        <w:t xml:space="preserve">Zitiervorschlag: § 39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