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FachV-J (Bayern) — Berufspraktische Studienzeiten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berufspraktischen Studienzeiten umfassen</w:t>
      </w:r>
    </w:p>
    <w:p>
      <w:r>
        <w:t xml:space="preserve">1. eine praktische Ausbildung, die insbesondere der Einführung in die Aufgaben der Praxis dient und zu selbstständiger Tätigkeit anleitet, und</w:t>
      </w:r>
    </w:p>
    <w:p>
      <w:r>
        <w:t xml:space="preserve">2. Arbeitsgemeinschaften.</w:t>
      </w:r>
    </w:p>
    <w:p>
      <w:r>
        <w:rPr>
          <w:color w:val="555555"/>
          <w:sz w:val="17"/>
        </w:rPr>
        <w:t xml:space="preserve">Zitiervorschlag: § 35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