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FachV-J (Bayern) — Fachtheoretische Studienabschnitte</w:t>
      </w:r>
    </w:p>
    <w:p>
      <w:r>
        <w:rPr>
          <w:color w:val="555555"/>
          <w:sz w:val="18"/>
        </w:rPr>
        <w:t xml:space="preserve">Fachverordnung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Von der Hochschule wird jährlich ein Vorlesungsverzeichnis erstellt, aus dem sich die Lehrveranstaltungen, d.h. die Vorlesungen und Arbeitsgemeinschaften, sowie die hauptamtlichen Lehrpersonen und die nebenamtlichen Lehrbeauftragten ergeben.</w:t>
      </w:r>
    </w:p>
    <w:p>
      <w:r>
        <w:rPr>
          <w:color w:val="555555"/>
          <w:sz w:val="17"/>
        </w:rPr>
        <w:t xml:space="preserve">Zitiervorschlag: § 34 FachV-J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https://recht.nulegal.eu/gesetze/FachV-J/34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