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FachV-J (Bayern) — Verhinderung, Unzumutbarkeit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Prüflinge, die eine Leistung in einem nicht zu vertretenden Zustand der Prüfungsunfähigkeit abgelegt haben, gilt § 33 Abs. 2 APO entsprechend. Die Geltendmachung hat in diesem Fall unmittelbar im Anschluss an die Abgabe der schriftlichen Arbeit oder sonstigen Aufzeichnungen, bei Prüfungsunfähigkeit in der mündlichen oder mündlich-praktischen Prüfung unmittelbar im Anschluss an deren Ablegung und vor Bekanntgabe des Prüfungsergebnisses, zu erfolgen.</w:t>
      </w:r>
    </w:p>
    <w:p>
      <w:r>
        <w:t xml:space="preserve">(2) Prüflinge, denen das Ablegen der Prüfung gemäß § 33 Abs. 5 APO unzumutbar ist, haben dies unverzüglich geltend zu machen.</w:t>
      </w:r>
    </w:p>
    <w:p>
      <w:r>
        <w:t xml:space="preserve">(3) In den Fällen der Abs. 1 und 2 sind die Prüflinge verpflichtet, den Vorbereitungsdienst fortzusetzen. § 28 Abs. 2 Satz 3 Halbsatz 2 gilt entsprechend.</w:t>
      </w:r>
    </w:p>
    <w:p>
      <w:r>
        <w:rPr>
          <w:color w:val="555555"/>
          <w:sz w:val="17"/>
        </w:rPr>
        <w:t xml:space="preserve">Zitiervorschlag: § 20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