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FachV-GesD (Bayern) — Gliederung der Prüfung</w:t>
      </w:r>
    </w:p>
    <w:p>
      <w:r>
        <w:rPr>
          <w:color w:val="555555"/>
          <w:sz w:val="18"/>
        </w:rPr>
        <w:t xml:space="preserve">Verordnung über den fachlichen Schwerpunkt Gesundheitsdienst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Prüfung besteht aus einem schriftlichen und einem mündlichen Teil.</w:t>
      </w:r>
    </w:p>
    <w:p>
      <w:r>
        <w:t xml:space="preserve">(2) Der schriftliche Teil besteht aus vier Klausuren über die jeweils absolvierten Module.</w:t>
      </w:r>
    </w:p>
    <w:p>
      <w:r>
        <w:t xml:space="preserve">(3) Die mündliche Prüfung findet nach Abschluss der schriftlichen Klausuren statt.</w:t>
      </w:r>
    </w:p>
    <w:p>
      <w:r>
        <w:rPr>
          <w:color w:val="555555"/>
          <w:sz w:val="17"/>
        </w:rPr>
        <w:t xml:space="preserve">Zitiervorschlag: § 8 FachV-GesD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https://recht.nulegal.eu/gesetze/FachV-GesD/8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