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FachV-GesD (Bayern) — Entscheidung über die Zulassung</w:t>
      </w:r>
    </w:p>
    <w:p>
      <w:r>
        <w:rPr>
          <w:color w:val="555555"/>
          <w:sz w:val="18"/>
        </w:rPr>
        <w:t xml:space="preserve">Verordnung über den fachlichen Schwerpunkt Gesundheitsdienst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Zulassung zum Lehrgang entscheidet das LGL nach Bedarf und Eignung der Bewerber. Hierbei ist abzustellen auf die Gesamtnote der Ärztlichen Prüfung, bereits erworbene einschlägige berufliche Erfahrungen sowie besondere Fachkenntnisse.</w:t>
      </w:r>
    </w:p>
    <w:p>
      <w:r>
        <w:t xml:space="preserve">(2) Die Zulassung ist zu versagen, wenn die Bewerber eine der Voraussetzungen nach § 2 Abs. 1 Nrn. 1 bis 4 nicht erfüllen; § 2 Abs. 2 bleibt unberührt. Im Einvernehmen mit dem Staatsministerium kann das LGL in Einzelfällen Ausnahmen zulassen.</w:t>
      </w:r>
    </w:p>
    <w:p>
      <w:r>
        <w:rPr>
          <w:color w:val="555555"/>
          <w:sz w:val="17"/>
        </w:rPr>
        <w:t xml:space="preserve">Zitiervorschlag: § 6 FachV-GesD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https://recht.nulegal.eu/gesetze/FachV-GesD/6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