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FachV-GesD (Bayern) — Inkrafttreten</w:t>
      </w:r>
    </w:p>
    <w:p>
      <w:r>
        <w:rPr>
          <w:color w:val="555555"/>
          <w:sz w:val="18"/>
        </w:rPr>
        <w:t xml:space="preserve">Verordnung über den fachlichen Schwerpunkt Gesundheitsdienst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mit Wirkung vom 1. August 2003 in Kraft.</w:t>
      </w:r>
    </w:p>
    <w:p>
      <w:r>
        <w:t xml:space="preserve">(2) Abweichend von § 8 Abs. 1 kann zur Prüfung zugelassen werden, wer am Lehrgang nach den bisher geltenden Vorschriften regelmäßig teilgenommen hat, an der Prüfungsablegung aber aus objektiven Gründen gehindert war. § 16 Abs. 1 Satz 1 gilt entsprechend.</w:t>
      </w:r>
    </w:p>
    <w:p>
      <w:r>
        <w:rPr>
          <w:color w:val="555555"/>
          <w:sz w:val="17"/>
        </w:rPr>
        <w:t xml:space="preserve">Zitiervorschlag: § 17 FachV-GesD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https://recht.nulegal.eu/gesetze/FachV-GesD/17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