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FachV-GA (Bayern)</w:t>
      </w:r>
    </w:p>
    <w:p>
      <w:r>
        <w:rPr>
          <w:color w:val="555555"/>
          <w:sz w:val="18"/>
        </w:rPr>
        <w:t xml:space="preserve">Verordnung über den fachlichen Schwerpunkt Gewerbeaufsicht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12. November 2014</w:t>
      </w:r>
    </w:p>
    <w:p>
      <w:r>
        <w:t xml:space="preserve">Bayerisches Staatsministerium</w:t>
      </w:r>
    </w:p>
    <w:p>
      <w:r>
        <w:t xml:space="preserve">für Umwelt und Verbraucherschutz</w:t>
      </w:r>
    </w:p>
    <w:p>
      <w:r>
        <w:t xml:space="preserve">Ulrike Scharf, Staatsministerin</w:t>
      </w:r>
    </w:p>
    <w:p>
      <w:r>
        <w:rPr>
          <w:color w:val="555555"/>
          <w:sz w:val="17"/>
        </w:rPr>
        <w:t xml:space="preserve">Zitiervorschlag: Schlussformel FachV-GA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https://recht.nulegal.eu/gesetze/FachV-GA/schlussformel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