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FachV-GA (Bayern) — Aufsicht, Ausbildungsrichtlinien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Aufsicht über die gesamte Ausbildung obliegt dem Staatsministerium für Umwelt und Verbraucherschutz (im Folgenden: Staatsministerium).</w:t>
      </w:r>
    </w:p>
    <w:p>
      <w:r>
        <w:t xml:space="preserve">(2) Das Staatsministerium kann im Einvernehmen mit dem Staatsministerium für Familie, Arbeit und Soziales Richtlinien zur Durchführung der Ausbildung erlassen.</w:t>
      </w:r>
    </w:p>
    <w:p>
      <w:r>
        <w:rPr>
          <w:color w:val="555555"/>
          <w:sz w:val="17"/>
        </w:rPr>
        <w:t xml:space="preserve">Zitiervorschlag: § 5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