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FachV-GA (Bayern) — Gliederung der Ausbildung</w:t>
      </w:r>
    </w:p>
    <w:p>
      <w:r>
        <w:rPr>
          <w:color w:val="555555"/>
          <w:sz w:val="18"/>
        </w:rPr>
        <w:t xml:space="preserve">Verordnung über den fachlichen Schwerpunkt Gewerbeaufsicht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Ausbildung umfasst einen fachtheoretischen Teil, der in Fachlehrgängen durchgeführt wird, sowie einen berufspraktischen Teil an den Ausbildungsbehörden.</w:t>
      </w:r>
    </w:p>
    <w:p>
      <w:r>
        <w:rPr>
          <w:color w:val="555555"/>
          <w:sz w:val="17"/>
        </w:rPr>
        <w:t xml:space="preserve">Zitiervorschlag: § 3 FachV-GA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https://recht.nulegal.eu/gesetze/FachV-GA/3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