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26 FachV-GA (Bayern) — Inkrafttreten, Außerkrafttreten</w:t>
      </w:r>
    </w:p>
    <w:p>
      <w:r>
        <w:rPr>
          <w:color w:val="555555"/>
          <w:sz w:val="18"/>
        </w:rPr>
        <w:t xml:space="preserve">Verordnung über den fachlichen Schwerpunkt Gewerbeaufsicht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Diese Verordnung tritt mit Wirkung vom 1. Oktober 2014 in Kraft.</w:t>
      </w:r>
    </w:p>
    <w:p>
      <w:r>
        <w:t xml:space="preserve">(2) § 25a tritt mit Ablauf des 31. Dezember 2020 außer Kraft.</w:t>
      </w:r>
    </w:p>
    <w:p>
      <w:r>
        <w:rPr>
          <w:color w:val="555555"/>
          <w:sz w:val="17"/>
        </w:rPr>
        <w:t xml:space="preserve">Zitiervorschlag: § 26 FachV-GA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https://recht.nulegal.eu/gesetze/FachV-GA/26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