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FachV-GA (Bayern) — Prüfungskommission</w:t>
      </w:r>
    </w:p>
    <w:p>
      <w:r>
        <w:rPr>
          <w:color w:val="555555"/>
          <w:sz w:val="18"/>
        </w:rPr>
        <w:t xml:space="preserve">Verordnung über den fachlichen Schwerpunkt Gewerbeaufsicht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Abnahme der mündlichen Prüfung werden Prüfungskommissionen gebildet. Diese setzen sich zusammen aus</w:t>
      </w:r>
    </w:p>
    <w:p>
      <w:r>
        <w:t xml:space="preserve">1. einer Beamtin oder einem Beamten der Fachlaufbahn Naturwissenschaft und Technik, fachlicher Schwerpunkt Gewerbeaufsicht, die oder der mindestens ein Amt der Besoldungsgruppe A 14 innehaben soll,</w:t>
      </w:r>
    </w:p>
    <w:p>
      <w:r>
        <w:t xml:space="preserve">2. einer Gewerbeärztin oder einem Gewerbearzt,</w:t>
      </w:r>
    </w:p>
    <w:p>
      <w:r>
        <w:t xml:space="preserve">3. einer Beamtin oder einem Beamten der Fachlaufbahn Naturwissenschaft und Technik, fachlicher Schwerpunkt Gewerbeaufsicht, die oder der mindestens ein Amt der Besoldungsgruppe A 10 bei Prüfungen für den vorgesehenen Einstieg in der zweiten oder dritten oder A 14 bei Prüfungen für den vorgesehenen Einstieg in der vierten Qualifikationsebene innehaben soll sowie</w:t>
      </w:r>
    </w:p>
    <w:p>
      <w:r>
        <w:t xml:space="preserve">4. einer Beamtin oder einem Beamten der Fachlaufbahn Verwaltung und Finanzen, die oder der mindestens ein Amt der Besoldungsgruppe A 10 bei Prüfungen für den vorgesehenen Einstieg in der zweiten oder dritten oder A 14 bei Prüfungen für den vorgesehenen Einstieg in der vierten Qualifikationsebene innehaben soll.</w:t>
      </w:r>
    </w:p>
    <w:p>
      <w:r>
        <w:t xml:space="preserve">(2) Das Staatsministerium bestellt die Mitglieder der Prüfungskommission, das vorsitzende Mitglied sowie deren Vertreter.</w:t>
      </w:r>
    </w:p>
    <w:p>
      <w:r>
        <w:rPr>
          <w:color w:val="555555"/>
          <w:sz w:val="17"/>
        </w:rPr>
        <w:t xml:space="preserve">Zitiervorschlag: § 16 FachV-GA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https://recht.nulegal.eu/gesetze/FachV-GA/16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