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FachV-Fw (Bayern) — Zulassung und Ausgestaltung</w:t>
      </w:r>
    </w:p>
    <w:p>
      <w:r>
        <w:rPr>
          <w:color w:val="555555"/>
          <w:sz w:val="18"/>
        </w:rPr>
        <w:t xml:space="preserve">Verordnung über den fachlichen Schwerpunkt feuerwehrtechnischer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Abweichend von Art. 37 Abs. 1 LlbG kann zur Ausbildungsqualifizierung für Ämter ab der vierten Qualifikationsebene zugelassen werden, wer</w:t>
      </w:r>
    </w:p>
    <w:p>
      <w:r>
        <w:t xml:space="preserve">1. mindestens ein Amt der Besoldungsgruppe A 12 innehat und</w:t>
      </w:r>
    </w:p>
    <w:p>
      <w:r>
        <w:t xml:space="preserve">2. in der letzten periodischen Beurteilung, die nicht länger als drei Jahre zurückliegen darf, eine positive Feststellung gemäß Art. 58 Abs. 5 Nr. 1 LlbG erhalten hat.</w:t>
      </w:r>
    </w:p>
    <w:p>
      <w:r>
        <w:t xml:space="preserve">Über die Zulassung zur Ausbildungsqualifizierung für Ämter ab der vierten Qualifikationsebene entscheidet die oberste Dienstbehörde nach Bedarf.</w:t>
      </w:r>
    </w:p>
    <w:p>
      <w:r>
        <w:t xml:space="preserve">(2) Die Ausbildungsqualifizierung für Ämter ab der vierten Qualifikationsebene dauert zwölf Monate und schließt mit der Qualifikationsprüfung für den Einstieg in der vierten Qualifikationsebene ab.</w:t>
      </w:r>
    </w:p>
    <w:p>
      <w:r>
        <w:t xml:space="preserve">(3) Die zur Ausbildungsqualifizierung zugelassenen Beamten und Beamtinnen nehmen an geeigneten Fortbildungen und einem Lehrgang teil, der für Ämter ab der vierten Qualifikationsebene qualifiziert. Die Inhalte der Ausbildung richten sich nach der Verordnung über die Ausbildung und Prüfung für die Laufbahn des zweiten Einstiegsamtes der Laufbahngruppe 2 des feuerwehrtechnischen Dienstes im Land Nordrhein-Westfalen in der am 22. Juni 2021 geltenden Fassung.</w:t>
      </w:r>
    </w:p>
    <w:p>
      <w:r>
        <w:rPr>
          <w:color w:val="555555"/>
          <w:sz w:val="17"/>
        </w:rPr>
        <w:t xml:space="preserve">Zitiervorschlag: § 39 FachV-Fw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https://recht.nulegal.eu/gesetze/FachV-Fw/39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