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FachV-Fw (Bayern) — Gesamtprüfungsergebnis</w:t>
      </w:r>
    </w:p>
    <w:p>
      <w:r>
        <w:rPr>
          <w:color w:val="555555"/>
          <w:sz w:val="18"/>
        </w:rPr>
        <w:t xml:space="preserve">Verordnung über den fachlichen Schwerpunkt feuerwehrtechnischer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Qualifikationsprüfung hat bestanden, wer beide Prüfungsmodule erfolgreich abgeschlossen hat.</w:t>
      </w:r>
    </w:p>
    <w:p>
      <w:r>
        <w:t xml:space="preserve">(2) Die Gesamtprüfungsnote ergibt sich aus der Summe der Bewertung des Zugführermoduls und der zweifachen Bewertung des Verbandsführermoduls, geteilt durch drei.</w:t>
      </w:r>
    </w:p>
    <w:p>
      <w:r>
        <w:rPr>
          <w:color w:val="555555"/>
          <w:sz w:val="17"/>
        </w:rPr>
        <w:t xml:space="preserve">Zitiervorschlag: § 27 FachV-Fw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https://recht.nulegal.eu/gesetze/FachV-Fw/27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