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FachV-Forst (Bayern) — Inkrafttreten</w:t>
      </w:r>
    </w:p>
    <w:p>
      <w:r>
        <w:rPr>
          <w:color w:val="555555"/>
          <w:sz w:val="18"/>
        </w:rPr>
        <w:t xml:space="preserve">Fachverordnung Forst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Juni 2010 in Kraft.</w:t>
      </w:r>
    </w:p>
    <w:p>
      <w:r>
        <w:rPr>
          <w:color w:val="555555"/>
          <w:sz w:val="17"/>
        </w:rPr>
        <w:t xml:space="preserve">Zitiervorschlag: § 32 FachV-Forst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https://recht.nulegal.eu/gesetze/FachV-Forst/32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