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FachV-Forst (Bayern) — Ausbildungskapazität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Ausbildungskapazität der Bayerischen Forstverwaltung im Sinn des Art. 3 des Forstzulassungsgesetzes beträgt</w:t>
      </w:r>
    </w:p>
    <w:p>
      <w:r>
        <w:t xml:space="preserve">1. für den Einstieg in der vierten Qualifikationsebene 28 und</w:t>
      </w:r>
    </w:p>
    <w:p>
      <w:r>
        <w:t xml:space="preserve">2. für den Einstieg in der dritten Qualifikationsebene 58</w:t>
      </w:r>
    </w:p>
    <w:p>
      <w:r>
        <w:t xml:space="preserve">Ausbildungsplätze. Für die Einstellungsjahrgänge 2025 bis 2029 beträgt abweichend von Satz 1 Nr. 2 die Ausbildungskapazität für den Einstieg in der dritten Qualifikationsebene 100 Ausbildungsplätze.</w:t>
      </w:r>
    </w:p>
    <w:p>
      <w:r>
        <w:rPr>
          <w:color w:val="555555"/>
          <w:sz w:val="17"/>
        </w:rPr>
        <w:t xml:space="preserve">Zitiervorschlag: § 30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